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22" w:rsidRPr="00953922" w:rsidRDefault="00953922" w:rsidP="00953922">
      <w:pPr>
        <w:pStyle w:val="a3"/>
        <w:spacing w:before="0" w:beforeAutospacing="0" w:after="360" w:afterAutospacing="0"/>
        <w:jc w:val="both"/>
        <w:rPr>
          <w:color w:val="303030"/>
        </w:rPr>
      </w:pPr>
      <w:r w:rsidRPr="00953922">
        <w:rPr>
          <w:rStyle w:val="a4"/>
          <w:color w:val="303030"/>
        </w:rPr>
        <w:t>Ще три громадські організації зможуть реалізувати свої проекти із залученням бюджетного фінансування</w:t>
      </w:r>
      <w:r w:rsidRPr="00953922">
        <w:rPr>
          <w:color w:val="303030"/>
        </w:rPr>
        <w:t> </w:t>
      </w:r>
    </w:p>
    <w:p w:rsidR="00953922" w:rsidRPr="00953922" w:rsidRDefault="00953922" w:rsidP="00953922">
      <w:pPr>
        <w:pStyle w:val="a3"/>
        <w:spacing w:before="0" w:beforeAutospacing="0" w:after="360" w:afterAutospacing="0"/>
        <w:jc w:val="both"/>
        <w:rPr>
          <w:color w:val="303030"/>
        </w:rPr>
      </w:pPr>
      <w:r w:rsidRPr="00953922">
        <w:rPr>
          <w:color w:val="303030"/>
        </w:rPr>
        <w:t>6 вересня відбулося чергове засідання конкурсної комісії з відбору проектів, розроблених інституціями громадянського суспільства, проектів, розроблених інститутами громадського суспільства, для виконання (реалізації) яких надається фінансова підтримка.</w:t>
      </w:r>
    </w:p>
    <w:p w:rsidR="00953922" w:rsidRPr="00953922" w:rsidRDefault="00953922" w:rsidP="00953922">
      <w:pPr>
        <w:pStyle w:val="a3"/>
        <w:spacing w:before="0" w:beforeAutospacing="0" w:after="360" w:afterAutospacing="0"/>
        <w:jc w:val="both"/>
        <w:rPr>
          <w:color w:val="303030"/>
        </w:rPr>
      </w:pPr>
      <w:r w:rsidRPr="00953922">
        <w:rPr>
          <w:color w:val="303030"/>
        </w:rPr>
        <w:t>Нагадаємо, оскільки загальний бюджет конкурсу на 2017-й рік був визначений у розмірі, що перевищував суму фінансової підтримки, запитуваної розробниками проектів, представлених у липні, конкурсна комісія прийняла рішення оголосити ще один конкурс із бюджетом в розмірі суми залишку.</w:t>
      </w:r>
    </w:p>
    <w:p w:rsidR="00953922" w:rsidRPr="00953922" w:rsidRDefault="00953922" w:rsidP="00953922">
      <w:pPr>
        <w:pStyle w:val="a3"/>
        <w:spacing w:before="0" w:beforeAutospacing="0" w:after="360" w:afterAutospacing="0"/>
        <w:jc w:val="both"/>
        <w:rPr>
          <w:color w:val="303030"/>
        </w:rPr>
      </w:pPr>
      <w:r w:rsidRPr="00953922">
        <w:rPr>
          <w:color w:val="303030"/>
        </w:rPr>
        <w:t>Цього разу на конкурсі були представлені 4 проекти, розроблені громадськими організаціями міста Миколаєва.</w:t>
      </w:r>
    </w:p>
    <w:p w:rsidR="00953922" w:rsidRPr="00953922" w:rsidRDefault="00953922" w:rsidP="00953922">
      <w:pPr>
        <w:pStyle w:val="a3"/>
        <w:spacing w:before="0" w:beforeAutospacing="0" w:after="360" w:afterAutospacing="0"/>
        <w:jc w:val="both"/>
        <w:rPr>
          <w:color w:val="303030"/>
        </w:rPr>
      </w:pPr>
      <w:r w:rsidRPr="00953922">
        <w:rPr>
          <w:color w:val="303030"/>
        </w:rPr>
        <w:t>Презентації проектів відбувалися у відкритому режимі, тому взяти участь в обговоренні могли і представники структурних підрозділів виконавчих органів Миколаївської міської ради, а також члени інших громадських організацій.</w:t>
      </w:r>
    </w:p>
    <w:p w:rsidR="00953922" w:rsidRPr="00953922" w:rsidRDefault="00953922" w:rsidP="00953922">
      <w:pPr>
        <w:pStyle w:val="a3"/>
        <w:spacing w:before="0" w:beforeAutospacing="0" w:after="360" w:afterAutospacing="0"/>
        <w:jc w:val="both"/>
        <w:rPr>
          <w:color w:val="303030"/>
        </w:rPr>
      </w:pPr>
      <w:r w:rsidRPr="00953922">
        <w:rPr>
          <w:color w:val="303030"/>
        </w:rPr>
        <w:t>Всі конкурсанти, презентуючи свої розробки, мали відповісти на запитання членів конкурсної комісії. Враховуючи різноманітність опрацьованих у проектах тем, а також те, що деякі організації вперше брали участь у конкурсі проектів з бюджетним фінансуванням, обговорення було досить бурхливим.</w:t>
      </w:r>
    </w:p>
    <w:p w:rsidR="00953922" w:rsidRPr="00953922" w:rsidRDefault="00953922" w:rsidP="00953922">
      <w:pPr>
        <w:pStyle w:val="a3"/>
        <w:spacing w:before="0" w:beforeAutospacing="0" w:after="360" w:afterAutospacing="0"/>
        <w:jc w:val="both"/>
        <w:rPr>
          <w:color w:val="303030"/>
        </w:rPr>
      </w:pPr>
      <w:r w:rsidRPr="00953922">
        <w:rPr>
          <w:color w:val="303030"/>
        </w:rPr>
        <w:t>У підсумку бали, виставлені конкурсною комісією, розподілилися таким чином:</w:t>
      </w:r>
    </w:p>
    <w:p w:rsidR="00953922" w:rsidRPr="00953922" w:rsidRDefault="00953922" w:rsidP="00953922">
      <w:pPr>
        <w:pStyle w:val="a3"/>
        <w:spacing w:before="0" w:beforeAutospacing="0" w:after="360" w:afterAutospacing="0"/>
        <w:jc w:val="both"/>
        <w:rPr>
          <w:color w:val="303030"/>
        </w:rPr>
      </w:pPr>
      <w:r w:rsidRPr="00953922">
        <w:rPr>
          <w:color w:val="303030"/>
        </w:rPr>
        <w:t>Благодійний фонд «Пані» з проектом «Громадський бюджет: від ідей до результату», -  367 балів,</w:t>
      </w:r>
    </w:p>
    <w:p w:rsidR="00953922" w:rsidRPr="00953922" w:rsidRDefault="00953922" w:rsidP="00953922">
      <w:pPr>
        <w:pStyle w:val="a3"/>
        <w:spacing w:before="0" w:beforeAutospacing="0" w:after="360" w:afterAutospacing="0"/>
        <w:jc w:val="both"/>
        <w:rPr>
          <w:color w:val="303030"/>
        </w:rPr>
      </w:pPr>
      <w:r w:rsidRPr="00953922">
        <w:rPr>
          <w:color w:val="303030"/>
        </w:rPr>
        <w:t>Громадська організація «Діалог» з проектом «Профілактика та подолання професійного та емоційного вигорання»  -  344 бали,</w:t>
      </w:r>
    </w:p>
    <w:p w:rsidR="00953922" w:rsidRPr="00953922" w:rsidRDefault="00953922" w:rsidP="00953922">
      <w:pPr>
        <w:pStyle w:val="a3"/>
        <w:spacing w:before="0" w:beforeAutospacing="0" w:after="360" w:afterAutospacing="0"/>
        <w:jc w:val="both"/>
        <w:rPr>
          <w:color w:val="303030"/>
        </w:rPr>
      </w:pPr>
      <w:r w:rsidRPr="00953922">
        <w:rPr>
          <w:color w:val="303030"/>
        </w:rPr>
        <w:t>Миколаївська обласна молодіжна громадька організація «Миколаївський дослідницько-аналітичний центр» з проектом «Дослідження громадської думки щодо громадського бюджету м. Миколаєва для вдосконалення проведення інформаційної кампанії органами місцевого самоврядування м. Миколаєва» - 298 балів,</w:t>
      </w:r>
    </w:p>
    <w:p w:rsidR="00953922" w:rsidRPr="00953922" w:rsidRDefault="00953922" w:rsidP="00953922">
      <w:pPr>
        <w:pStyle w:val="a3"/>
        <w:spacing w:before="0" w:beforeAutospacing="0" w:after="360" w:afterAutospacing="0"/>
        <w:jc w:val="both"/>
        <w:rPr>
          <w:color w:val="303030"/>
        </w:rPr>
      </w:pPr>
      <w:r w:rsidRPr="00953922">
        <w:rPr>
          <w:color w:val="303030"/>
        </w:rPr>
        <w:t>Обласна громадська організація «Знання, безпека, добробут» з проектом «Все про ефективність системи управління персоналом» - 280 балів.</w:t>
      </w:r>
    </w:p>
    <w:p w:rsidR="00953922" w:rsidRPr="00953922" w:rsidRDefault="00953922" w:rsidP="00953922">
      <w:pPr>
        <w:pStyle w:val="a3"/>
        <w:spacing w:before="0" w:beforeAutospacing="0" w:after="360" w:afterAutospacing="0"/>
        <w:jc w:val="both"/>
        <w:rPr>
          <w:color w:val="303030"/>
        </w:rPr>
      </w:pPr>
      <w:r w:rsidRPr="00953922">
        <w:rPr>
          <w:color w:val="303030"/>
        </w:rPr>
        <w:t>В ході обговорення проектів конкурсна комісія відзначила, що всі з них є актуальними для громади. З огляду ж на кількість набраних балів переможцями конкурсу було визнано БФ «Пані» та ГО «Діалог».</w:t>
      </w:r>
    </w:p>
    <w:p w:rsidR="00953922" w:rsidRPr="00953922" w:rsidRDefault="00953922" w:rsidP="00953922">
      <w:pPr>
        <w:pStyle w:val="a3"/>
        <w:spacing w:before="0" w:beforeAutospacing="0" w:after="360" w:afterAutospacing="0"/>
        <w:jc w:val="both"/>
        <w:rPr>
          <w:color w:val="303030"/>
        </w:rPr>
      </w:pPr>
      <w:r w:rsidRPr="00953922">
        <w:rPr>
          <w:color w:val="303030"/>
        </w:rPr>
        <w:t>При цьому, з огляду на те, що наразі в Миколаєві триває робота над запровадженням громадського бюджету та враховуючи особливості бюджетного законодавства України конкурсна комісія рекомендувала включити реалізацію проекту, розробленого БФ «Пані» до заходів інформаційної кампанії програми «Громадський бюджет м. Миколаєва».</w:t>
      </w:r>
    </w:p>
    <w:p w:rsidR="00953922" w:rsidRPr="00953922" w:rsidRDefault="00953922" w:rsidP="00953922">
      <w:pPr>
        <w:pStyle w:val="a3"/>
        <w:spacing w:before="0" w:beforeAutospacing="0" w:after="360" w:afterAutospacing="0"/>
        <w:jc w:val="both"/>
        <w:rPr>
          <w:color w:val="303030"/>
        </w:rPr>
      </w:pPr>
      <w:r w:rsidRPr="00953922">
        <w:rPr>
          <w:color w:val="303030"/>
        </w:rPr>
        <w:lastRenderedPageBreak/>
        <w:t>У засіданні також взяла участь керівник громадської організації «Ресурсний центр громадських ініціатив» Анна Ганжул, яка повідомила про відмову організації від реалізації проекту, що отримав підтримку на конкурсі минулого разу.</w:t>
      </w:r>
    </w:p>
    <w:p w:rsidR="00953922" w:rsidRPr="00953922" w:rsidRDefault="00953922" w:rsidP="00953922">
      <w:pPr>
        <w:pStyle w:val="a3"/>
        <w:spacing w:before="0" w:beforeAutospacing="0" w:after="360" w:afterAutospacing="0"/>
        <w:jc w:val="both"/>
        <w:rPr>
          <w:color w:val="303030"/>
        </w:rPr>
      </w:pPr>
      <w:r w:rsidRPr="00953922">
        <w:rPr>
          <w:color w:val="303030"/>
        </w:rPr>
        <w:t>Відповідно до Положення, яким регулюється проведення конкурсу, в разі коли переможець відмовляється від реалізації проекту, конкурсна комісія приймає рішення щодо визнання переможцем конкурсу інституту громадянського суспільства, конкурсна пропозиція якого набрала більшу кількість балів серед учасників конкурсу, які не були визнані переможцями.</w:t>
      </w:r>
    </w:p>
    <w:p w:rsidR="00953922" w:rsidRPr="00953922" w:rsidRDefault="00953922" w:rsidP="00953922">
      <w:pPr>
        <w:pStyle w:val="a3"/>
        <w:spacing w:before="0" w:beforeAutospacing="0" w:after="360" w:afterAutospacing="0"/>
        <w:jc w:val="both"/>
        <w:rPr>
          <w:color w:val="303030"/>
        </w:rPr>
      </w:pPr>
      <w:r w:rsidRPr="00953922">
        <w:rPr>
          <w:color w:val="303030"/>
        </w:rPr>
        <w:t>Таким чином МОГО «Миколаївський дослідницько-аналітичний центр», яка набрала відповідну кількість балів, також отримала можливість реалізувати свій конкурсний проект у повному обсязі.</w:t>
      </w:r>
    </w:p>
    <w:p w:rsidR="00E50B19" w:rsidRDefault="00E50B19">
      <w:bookmarkStart w:id="0" w:name="_GoBack"/>
      <w:bookmarkEnd w:id="0"/>
    </w:p>
    <w:sectPr w:rsidR="00E50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65"/>
    <w:rsid w:val="003E7D65"/>
    <w:rsid w:val="00953922"/>
    <w:rsid w:val="00E50B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922"/>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9539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922"/>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953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1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user249d</dc:creator>
  <cp:keywords/>
  <dc:description/>
  <cp:lastModifiedBy>user249d</cp:lastModifiedBy>
  <cp:revision>2</cp:revision>
  <dcterms:created xsi:type="dcterms:W3CDTF">2021-10-05T06:53:00Z</dcterms:created>
  <dcterms:modified xsi:type="dcterms:W3CDTF">2021-10-05T06:54:00Z</dcterms:modified>
</cp:coreProperties>
</file>